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left="3080" w:hanging="3080" w:hanging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新疆徕远企业管理有限公司选聘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6"/>
          <w:sz w:val="44"/>
          <w:szCs w:val="44"/>
          <w:highlight w:val="none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一、选聘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</w:rPr>
        <w:t>岗位</w:t>
      </w:r>
    </w:p>
    <w:p>
      <w:pPr>
        <w:pStyle w:val="1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副总经理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业务发展方向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highlight w:val="none"/>
        </w:rPr>
        <w:t>名</w:t>
      </w:r>
    </w:p>
    <w:p>
      <w:pPr>
        <w:pStyle w:val="12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left="0" w:leftChars="0" w:firstLine="640" w:firstLineChars="200"/>
        <w:textAlignment w:val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highlight w:val="none"/>
          <w:lang w:val="en-US" w:eastAsia="zh-CN"/>
        </w:rPr>
        <w:t>二、选聘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highlight w:val="none"/>
        </w:rPr>
        <w:t>条件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岗位职责</w:t>
      </w:r>
    </w:p>
    <w:p>
      <w:pPr>
        <w:pStyle w:val="6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/>
        </w:rPr>
        <w:t>协助总经理工作，参与公司经营管理与决策；</w:t>
      </w:r>
    </w:p>
    <w:p>
      <w:pPr>
        <w:pStyle w:val="6"/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right="109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2.协助总经理制定公司发展战略规划、经营计划、业务发展计划；按分工协助总经理对分管职能部门进行管理，负责相关工作，监督各项管理制度的制定及实施；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3.制订清晰的投资业务规划与实施策略，负责管理和实施。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4.决策和管理部门内部其他相关事务，加强对分管领域的监督管理和廉洁风险防控；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5.监督公司生产经营，控制风险，落实经营目标。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1.年龄不超过50周岁，大学本科及以上学历；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应当具有国有大中型企业领导班子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副职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，或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中层正职3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年以上工作经历，未满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年的应当具备中层正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副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职累计5年以上的工作经历；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党政机关及相关事业单位、金融机构人员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应当具有与企业任职条件相当的职务和年限工作经历；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具备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有大中型企业资产运营、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风险控制、房产开发、土地规划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等方面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管理经验；</w:t>
      </w:r>
    </w:p>
    <w:p>
      <w:pPr>
        <w:pStyle w:val="5"/>
        <w:keepNext w:val="0"/>
        <w:keepLines w:val="0"/>
        <w:pageBreakBefore w:val="0"/>
        <w:kinsoku/>
        <w:wordWrap/>
        <w:overflowPunct w:val="0"/>
        <w:topLinePunct w:val="0"/>
        <w:bidi w:val="0"/>
        <w:adjustRightInd/>
        <w:spacing w:before="0" w:beforeAutospacing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特别优秀或特殊需要人才，可适当放宽条件。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三、选聘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（一）报名。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报名人员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发送以下材料及证件至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邮箱1455815674@qq.com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（二）资格审查。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按照公布的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综合考评。采取笔试和面试方式进行。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（四）体检。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参照相关标准进行</w:t>
      </w:r>
      <w:r>
        <w:rPr>
          <w:rFonts w:hint="eastAsia" w:ascii="仿宋_GB2312" w:hAnsi="仿宋" w:eastAsia="仿宋_GB2312" w:cs="方正仿宋简体"/>
          <w:color w:val="000000"/>
          <w:sz w:val="32"/>
          <w:szCs w:val="32"/>
        </w:rPr>
        <w:t>体检，如存在不诚信行为，取消聘用资格。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（五）考察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（六）研究聘用。综合有关情况研究确定拟聘用人员，对拟聘用人员进行公示，公示期为5个工作日。对公示期满无异议或有问题不影响任用的，按相关程序办理聘用手续，并签订劳动合同。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注意事项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应聘人员应确保本人提供信息的真实性。凡弄虚作假者，一经查实，即取消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资格；已录用的，解除与其签订的劳动合同。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在职公务员及国有企事业单位应聘人员，报名时原则上应持所在单位同意应聘的证明。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）本次选聘不指定考试教材和辅导用书，不举办也不授权或委托任何机构举办考试辅导培训班。</w:t>
      </w:r>
    </w:p>
    <w:p>
      <w:pPr>
        <w:keepNext w:val="0"/>
        <w:keepLines w:val="0"/>
        <w:pageBreakBefore w:val="0"/>
        <w:tabs>
          <w:tab w:val="left" w:pos="6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（四）本公告由徕远管理公司选聘工作领导小组负责解释。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咨询电话：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0991-2627955  0991-2202399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监督举报电话：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0991-26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11786  0991-2655112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420" w:firstLineChars="200"/>
        <w:jc w:val="left"/>
        <w:textAlignment w:val="auto"/>
        <w:rPr>
          <w:rFonts w:hint="eastAsia"/>
          <w:lang w:val="en-US" w:eastAsia="zh-CN"/>
        </w:rPr>
        <w:sectPr>
          <w:footerReference r:id="rId3" w:type="default"/>
          <w:pgSz w:w="11900" w:h="16839"/>
          <w:pgMar w:top="1434" w:right="1468" w:bottom="1417" w:left="1429" w:header="0" w:footer="0" w:gutter="0"/>
          <w:pgNumType w:fmt="decimal"/>
          <w:cols w:space="720" w:num="1"/>
        </w:sect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ind w:firstLine="1320" w:firstLineChars="3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新疆徕远企业管理有限公司简介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新疆徕远企业管理有限公司（以下简称徕远管理公司）成立于2017年7月，注册资金300万元人民币，注册地新疆乌鲁木齐市天山区东风路346号，是兵团国资公司全资子公司。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作为兵团国资公司系统社会化管理平台公司，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徕远公司承担着兵团国资公司改革任务，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充分发挥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兵团国资系统国企改革历史遗留问题化解平台，以及风险隐患防火墙作用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经过多年来的国企改革，徕远企业管理公司基本形成了以资产租赁为主、物业服务和番茄酱工贸为两翼的“一主两翼”业务布局。目前经营范围：兵团国资公司授权范围内的国有资产经营、管理与委托管理；房屋租赁，土地租赁，机械设备租赁；仓储；物业占道、非占道停车服务，家政服务，居家养老与日间照料，代收服务费；汽车美容、清洁服务；广告宣传；销售：日用百货，针纺织产品，服装鞋帽，农副产品（专项除外），工艺美术品，五金交电，家用电器，电子产品，仪器仪表，水暖配件，文化用品，办公用品；园林苗圃花卉种植销售等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4" w:type="default"/>
      <w:pgSz w:w="11906" w:h="16838"/>
      <w:pgMar w:top="1587" w:right="1417" w:bottom="158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D533E0-34AE-4C89-897E-6D0B6C4BD0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9B938F3-9929-4812-BD32-7AF26B69B8F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4B40A84-C480-46BC-BD87-9E2885C7AF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CE2610D-6F41-4E30-8E1C-E74A0FC8BE8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84D60AB0-6F02-42B1-A4F2-B8D22775D6D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8E96B68B-9755-48CE-A3FB-9C7C3558DB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4"/>
                              <w:szCs w:val="24"/>
                              <w:lang w:val="zh-CN"/>
                            </w:rPr>
                            <w:t>18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lU1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K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Y5VNZ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4"/>
                        <w:szCs w:val="24"/>
                        <w:lang w:val="zh-CN"/>
                      </w:rPr>
                      <w:t>18</w:t>
                    </w:r>
                    <w:r>
                      <w:rPr>
                        <w:rFonts w:hint="eastAsia" w:ascii="仿宋_GB2312"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NhYzQ3MDUxM2EzMDcwMzcwM2E4NmY3YTgzOWYifQ=="/>
  </w:docVars>
  <w:rsids>
    <w:rsidRoot w:val="00000000"/>
    <w:rsid w:val="327F2731"/>
    <w:rsid w:val="6AD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Autospacing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6">
    <w:name w:val="Body Text"/>
    <w:basedOn w:val="1"/>
    <w:qFormat/>
    <w:uiPriority w:val="0"/>
  </w:style>
  <w:style w:type="paragraph" w:styleId="7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7"/>
    <w:next w:val="12"/>
    <w:qFormat/>
    <w:uiPriority w:val="0"/>
    <w:pPr>
      <w:ind w:firstLine="420"/>
    </w:pPr>
  </w:style>
  <w:style w:type="paragraph" w:styleId="12">
    <w:name w:val="List Paragraph"/>
    <w:basedOn w:val="1"/>
    <w:next w:val="1"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1572</Characters>
  <Paragraphs>51</Paragraphs>
  <TotalTime>0</TotalTime>
  <ScaleCrop>false</ScaleCrop>
  <LinksUpToDate>false</LinksUpToDate>
  <CharactersWithSpaces>1576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</cp:lastModifiedBy>
  <cp:lastPrinted>2022-06-16T05:07:00Z</cp:lastPrinted>
  <dcterms:modified xsi:type="dcterms:W3CDTF">2023-03-24T03:11:37Z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51B7EE43039B4DA9947E1BA6E84F2BAC</vt:lpwstr>
  </property>
</Properties>
</file>