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新疆城市投资有限责任公司选聘公告</w:t>
      </w:r>
    </w:p>
    <w:p>
      <w:pPr>
        <w:pStyle w:val="3"/>
      </w:pPr>
    </w:p>
    <w:p>
      <w:pPr>
        <w:pStyle w:val="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一、选聘岗位</w:t>
      </w:r>
    </w:p>
    <w:p>
      <w:pPr>
        <w:pStyle w:val="3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副总经理1名。</w:t>
      </w:r>
    </w:p>
    <w:p>
      <w:pPr>
        <w:pStyle w:val="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二、选聘条件</w:t>
      </w:r>
    </w:p>
    <w:p>
      <w:pPr>
        <w:pStyle w:val="3"/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（一）岗位职责</w:t>
      </w:r>
    </w:p>
    <w:p>
      <w:pPr>
        <w:pStyle w:val="3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协助总经理开展各项经营管理工作；</w:t>
      </w:r>
    </w:p>
    <w:p>
      <w:pPr>
        <w:pStyle w:val="3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协助总经理开展各托管企业风险化解工作，认真组织和落实各项风险化解任务，督促和检查各项风险化解任务工作进度，有效控制风险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协助总经理解决各托管企业历史遗留问题，梳理各托管企业历史遗留问题解决过程中涉及的相关财务数据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3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协助总经理做好其他分管工作。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不超过50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" w:eastAsia="仿宋_GB2312" w:cs="宋体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应当具有国有大中型企业领导班子副职，或中层正职3年以上工作经历，未满3年的应当具备中层正、副职累计5年以上的工作经历；党政机关及相关事业单位、金融机构人员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 w:bidi="ar-SA"/>
        </w:rPr>
        <w:t>应当具有与企业任职条件相当的职务和年限工作经历；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.具有较强的责任意识、理解与表达能力、策划与实施能力、组织协调能力、改革创新能力、团队合作与执行能力；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.特别优秀或特殊需要人才，可适当放宽条件。</w:t>
      </w:r>
    </w:p>
    <w:p>
      <w:pPr>
        <w:pStyle w:val="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三、选聘程序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(一)报名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报名人员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发送以下材料及证件至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邮箱</w:t>
      </w:r>
      <w:r>
        <w:rPr>
          <w:rFonts w:hint="eastAsia" w:ascii="仿宋_GB2312" w:hAnsi="仿宋" w:eastAsia="仿宋_GB2312" w:cs="方正仿宋简体"/>
          <w:color w:val="auto"/>
          <w:sz w:val="32"/>
          <w:szCs w:val="32"/>
        </w:rPr>
        <w:t>289828637@qq.com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包括但不限于：报名登记表、一寸照片电子版、身份证扫描件、学历、学位证书扫描件（学信网学历、学位证明）、所获专业技术职称及资格证书扫描件、所获工作奖励表彰证书或证明材料扫描件等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</w:rPr>
        <w:t>逾期不再受理。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（二）资格审查。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选聘工作组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公布的选聘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（三）综合考评。采用笔试与面试相结合的方式。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（四）体检。参照相关标准进行体检，如存在不诚信行为，取消聘用资格。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（五）考察。考察组赴考察人员现任职或曾任职单位进行考察，全面了解考察对象政治品质、专业能力、工作业绩及遵纪守法等情况。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（六）研究聘用。综合有关情况研究确定拟聘用人员，对拟聘用人员进行公示，公示期为5个工作日。对公示期满无异议或有问题不影响任用的，按相关程序办理聘用手续，并签订劳动合同。</w:t>
      </w:r>
    </w:p>
    <w:p>
      <w:pPr>
        <w:pStyle w:val="10"/>
        <w:widowControl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四、注意事项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应聘人员应确保本人提供信息的真实性。凡弄虚作假者，一经查实，即取消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资格；已录用的，解除与其签订的劳动合同。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在职公务员及国有企事业单位应聘人员，报名时原则上应持所在单位同意应聘的证明。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</w:rPr>
        <w:t>）本次选聘不指定考试教材和辅导用书，不举办也不授权或委托任何机构举办考试辅导培训班。</w:t>
      </w:r>
    </w:p>
    <w:p>
      <w:pPr>
        <w:pStyle w:val="3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（四）本公告由新疆城投公司选聘工作领导小组负责解释。</w:t>
      </w:r>
    </w:p>
    <w:p>
      <w:pPr>
        <w:pStyle w:val="3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咨询电话：0991-2337013</w:t>
      </w:r>
    </w:p>
    <w:p>
      <w:pPr>
        <w:pStyle w:val="3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监督举报电话：0991-2311606。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新疆城市投资有限责任公司简介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新疆城市投资有限责任公司（以下简称“新疆城投公司”）是兵团国有资产经营有限责任公司的全资子公司。公司成立于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3年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月，注册资金</w:t>
      </w:r>
      <w:r>
        <w:rPr>
          <w:rFonts w:ascii="仿宋_GB2312" w:eastAsia="仿宋_GB2312"/>
          <w:sz w:val="32"/>
          <w:szCs w:val="32"/>
        </w:rPr>
        <w:t>5000</w:t>
      </w:r>
      <w:r>
        <w:rPr>
          <w:rFonts w:hint="eastAsia" w:ascii="仿宋_GB2312" w:eastAsia="仿宋_GB2312"/>
          <w:sz w:val="32"/>
          <w:szCs w:val="32"/>
        </w:rPr>
        <w:t>万元，现有员工30余人。2019年，在国资国企改革的工作推进中，新疆城投公司作为兵团国资公司资产盘活平台公司，担负着自有房产、国资公司名下资产管理和盘活职责，全力做到国有资产保值增值。目前新疆城投公司管理的资产有广场联合大厦、兵团商业交易大厦、兵房大厦、天彩大厦、徕远广场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座等资产，总面积近24万平方米。受兵团国资公司委托，新疆城投公司目前托管四家企业，分别为：新疆宏海房地产开发有限公司、新疆凯隆投资有限公司、新疆徕远房地产开发有限责任公司和新疆瀚隆投资有限公司。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rPr>
          <w:rFonts w:ascii="仿宋_GB2312" w:eastAsia="仿宋_GB231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7C102D-2C07-4A08-9E64-BEE0A2510F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20D6494-EE80-4709-8FD8-63C5194F3B1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464568B-6F8D-415E-A2E5-79A109BADA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8BD36FA-53FB-42CA-8795-651F10BA1612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DE79A2C-6C9A-4850-BA83-375294E397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ZiNzNhYzQ3MDUxM2EzMDcwMzcwM2E4NmY3YTgzOWYifQ=="/>
  </w:docVars>
  <w:rsids>
    <w:rsidRoot w:val="00000000"/>
    <w:rsid w:val="64D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ind w:left="0" w:right="0"/>
      <w:jc w:val="both"/>
      <w:outlineLvl w:val="3"/>
    </w:pPr>
    <w:rPr>
      <w:rFonts w:ascii="Arial" w:hAnsi="Arial" w:eastAsia="黑体" w:cs="宋体"/>
      <w:b/>
      <w:bCs/>
      <w:kern w:val="2"/>
      <w:sz w:val="28"/>
      <w:szCs w:val="28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6">
    <w:name w:val="Body Text"/>
    <w:basedOn w:val="1"/>
    <w:qFormat/>
    <w:uiPriority w:val="1"/>
    <w:pPr>
      <w:spacing w:before="2"/>
      <w:ind w:left="120" w:firstLine="638"/>
    </w:pPr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7"/>
    <w:next w:val="12"/>
    <w:qFormat/>
    <w:uiPriority w:val="0"/>
    <w:pPr>
      <w:ind w:firstLine="420"/>
    </w:pPr>
  </w:style>
  <w:style w:type="paragraph" w:styleId="12">
    <w:name w:val="List Paragraph"/>
    <w:basedOn w:val="1"/>
    <w:next w:val="1"/>
    <w:qFormat/>
    <w:uiPriority w:val="99"/>
    <w:pPr>
      <w:ind w:firstLine="420" w:firstLineChars="200"/>
    </w:pPr>
  </w:style>
  <w:style w:type="paragraph" w:customStyle="1" w:styleId="15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1286</Words>
  <Characters>1343</Characters>
  <Paragraphs>42</Paragraphs>
  <TotalTime>1</TotalTime>
  <ScaleCrop>false</ScaleCrop>
  <LinksUpToDate>false</LinksUpToDate>
  <CharactersWithSpaces>1345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2023-03-20T07:32:00Z</dcterms:created>
  <dc:creator>Exelion</dc:creator>
  <cp:lastModifiedBy></cp:lastModifiedBy>
  <cp:lastPrinted>2022-06-30T03:51:00Z</cp:lastPrinted>
  <dcterms:modified xsi:type="dcterms:W3CDTF">2023-03-24T03:13:50Z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063D31B07D3F46FC9A2CEBD23A7365B0</vt:lpwstr>
  </property>
</Properties>
</file>